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2B" w:rsidRPr="00D57944" w:rsidRDefault="00E9112B" w:rsidP="00E9112B">
      <w:pPr>
        <w:pStyle w:val="CABEZA"/>
        <w:rPr>
          <w:rFonts w:cs="Times New Roman"/>
        </w:rPr>
      </w:pPr>
      <w:r w:rsidRPr="00D57944">
        <w:rPr>
          <w:rFonts w:cs="Times New Roman"/>
        </w:rPr>
        <w:t>BANCO DE MEXICO</w:t>
      </w:r>
    </w:p>
    <w:p w:rsidR="00E9112B" w:rsidRDefault="00E9112B" w:rsidP="00E9112B">
      <w:pPr>
        <w:pStyle w:val="Titulo1"/>
        <w:rPr>
          <w:rFonts w:cs="Times New Roman"/>
        </w:rPr>
      </w:pPr>
    </w:p>
    <w:p w:rsidR="00E9112B" w:rsidRPr="00D57944" w:rsidRDefault="00E9112B" w:rsidP="00E9112B">
      <w:pPr>
        <w:pStyle w:val="Titulo1"/>
        <w:rPr>
          <w:rFonts w:cs="Times New Roman"/>
        </w:rPr>
      </w:pPr>
      <w:bookmarkStart w:id="0" w:name="_GoBack"/>
      <w:r w:rsidRPr="00D57944">
        <w:rPr>
          <w:rFonts w:cs="Times New Roman"/>
        </w:rPr>
        <w:t xml:space="preserve">EQUIVALENCIA de las monedas </w:t>
      </w:r>
      <w:bookmarkEnd w:id="0"/>
      <w:r w:rsidRPr="00D57944">
        <w:rPr>
          <w:rFonts w:cs="Times New Roman"/>
        </w:rPr>
        <w:t>de diversos países con el dólar de los Estados Unidos de América, correspondiente al mes de noviembre de 2019.</w:t>
      </w:r>
    </w:p>
    <w:p w:rsidR="00E9112B" w:rsidRPr="00D57944" w:rsidRDefault="00E9112B" w:rsidP="00E9112B">
      <w:pPr>
        <w:pStyle w:val="Titulo2"/>
      </w:pPr>
      <w:r w:rsidRPr="00D57944">
        <w:t>Al margen un logotipo, que dice: Banco de México.</w:t>
      </w:r>
    </w:p>
    <w:p w:rsidR="00E9112B" w:rsidRPr="00B5653B" w:rsidRDefault="00E9112B" w:rsidP="00E9112B">
      <w:pPr>
        <w:pStyle w:val="Texto"/>
        <w:rPr>
          <w:b/>
        </w:rPr>
      </w:pPr>
      <w:r w:rsidRPr="00B5653B">
        <w:rPr>
          <w:b/>
        </w:rPr>
        <w:t xml:space="preserve">Equivalencia de las monedas de diversos países con el dólar de los Estados Unidos de América, correspondiente al mes de </w:t>
      </w:r>
      <w:proofErr w:type="gramStart"/>
      <w:r w:rsidRPr="00B5653B">
        <w:rPr>
          <w:b/>
        </w:rPr>
        <w:t>Noviembre</w:t>
      </w:r>
      <w:proofErr w:type="gramEnd"/>
      <w:r w:rsidRPr="00B5653B">
        <w:rPr>
          <w:b/>
        </w:rPr>
        <w:t xml:space="preserve"> de 2019</w:t>
      </w:r>
    </w:p>
    <w:p w:rsidR="00E9112B" w:rsidRPr="00446130" w:rsidRDefault="00E9112B" w:rsidP="00E9112B">
      <w:pPr>
        <w:pStyle w:val="Texto"/>
      </w:pPr>
      <w:r w:rsidRPr="00446130">
        <w:t xml:space="preserve">El Banco de México, con fundamento en los artículos 8o. y 10 del Reglamento Interior del Banco de México, así como Único del Acuerdo de Adscripción de las Unidades Administrativas del Banco de México y de conformidad con lo señalado en el artículo 20 del Código Fiscal de la Federación, da a conocer para efectos fiscales la cotización de las monedas de diversos países contra el dólar de los </w:t>
      </w:r>
      <w:proofErr w:type="gramStart"/>
      <w:r w:rsidRPr="00446130">
        <w:t>EE.UU.</w:t>
      </w:r>
      <w:proofErr w:type="gramEnd"/>
      <w:r w:rsidRPr="00446130">
        <w:t>A., observada en los mercados internacionales.</w:t>
      </w:r>
    </w:p>
    <w:p w:rsidR="00E9112B" w:rsidRPr="00256C83" w:rsidRDefault="00E9112B" w:rsidP="00E9112B">
      <w:pPr>
        <w:pStyle w:val="Texto"/>
      </w:pPr>
      <w:r w:rsidRPr="00256C83">
        <w:t>Las monedas de los países que se listan corresponden: i) a los principales socios comerciales de México, tanto en exportaciones como en importaciones, según datos del Instituto Nacional de Estadística y Geografía (INEGI)</w:t>
      </w:r>
      <w:r w:rsidRPr="00256C83">
        <w:rPr>
          <w:rStyle w:val="Refdenotaalpie"/>
        </w:rPr>
        <w:footnoteReference w:customMarkFollows="1" w:id="1"/>
        <w:t>1*</w:t>
      </w:r>
      <w:r w:rsidRPr="00256C83">
        <w:t xml:space="preserve">, </w:t>
      </w:r>
      <w:proofErr w:type="spellStart"/>
      <w:r w:rsidRPr="00256C83">
        <w:t>ii</w:t>
      </w:r>
      <w:proofErr w:type="spellEnd"/>
      <w:r w:rsidRPr="00256C83">
        <w:t>) a las divisas más operadas en el mercado de cambios a nivel mundial, de conformidad con la encuesta oficial publicada por el Banco de Pagos Internacionales (BIS)</w:t>
      </w:r>
      <w:r w:rsidRPr="00256C83">
        <w:rPr>
          <w:rStyle w:val="Refdenotaalpie"/>
        </w:rPr>
        <w:footnoteReference w:customMarkFollows="1" w:id="2"/>
        <w:t>2**</w:t>
      </w:r>
      <w:r w:rsidRPr="00256C83">
        <w:t xml:space="preserve"> y </w:t>
      </w:r>
      <w:proofErr w:type="spellStart"/>
      <w:r w:rsidRPr="00256C83">
        <w:t>iii</w:t>
      </w:r>
      <w:proofErr w:type="spellEnd"/>
      <w:r w:rsidRPr="00256C83">
        <w:t>) a las divisas solicitadas a este Instituto Central para su publicación en el Diario Oficial de la Federación.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2498"/>
        <w:gridCol w:w="2539"/>
      </w:tblGrid>
      <w:tr w:rsidR="00E9112B" w:rsidRPr="0079608C" w:rsidTr="00274CF0">
        <w:trPr>
          <w:trHeight w:val="20"/>
          <w:tblHeader/>
        </w:trPr>
        <w:tc>
          <w:tcPr>
            <w:tcW w:w="3675" w:type="dxa"/>
            <w:shd w:val="clear" w:color="auto" w:fill="C0C0C0"/>
            <w:noWrap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center"/>
            </w:pPr>
            <w:r w:rsidRPr="0079608C">
              <w:rPr>
                <w:b/>
              </w:rPr>
              <w:t>País (1)</w:t>
            </w:r>
          </w:p>
        </w:tc>
        <w:tc>
          <w:tcPr>
            <w:tcW w:w="2498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left"/>
            </w:pPr>
            <w:r w:rsidRPr="0079608C">
              <w:rPr>
                <w:b/>
              </w:rPr>
              <w:t>Moneda</w:t>
            </w:r>
          </w:p>
        </w:tc>
        <w:tc>
          <w:tcPr>
            <w:tcW w:w="2539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left"/>
            </w:pPr>
            <w:r w:rsidRPr="0079608C">
              <w:rPr>
                <w:b/>
              </w:rPr>
              <w:t>Equivalencia de la</w:t>
            </w:r>
          </w:p>
        </w:tc>
      </w:tr>
      <w:tr w:rsidR="00E9112B" w:rsidRPr="0079608C" w:rsidTr="00274CF0">
        <w:trPr>
          <w:trHeight w:val="20"/>
          <w:tblHeader/>
        </w:trPr>
        <w:tc>
          <w:tcPr>
            <w:tcW w:w="3675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center"/>
            </w:pPr>
          </w:p>
        </w:tc>
        <w:tc>
          <w:tcPr>
            <w:tcW w:w="2498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center"/>
            </w:pPr>
          </w:p>
        </w:tc>
        <w:tc>
          <w:tcPr>
            <w:tcW w:w="2539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left"/>
            </w:pPr>
            <w:r w:rsidRPr="0079608C">
              <w:rPr>
                <w:b/>
              </w:rPr>
              <w:t>moneda extranjera</w:t>
            </w:r>
          </w:p>
        </w:tc>
      </w:tr>
      <w:tr w:rsidR="00E9112B" w:rsidRPr="0079608C" w:rsidTr="00274CF0">
        <w:trPr>
          <w:trHeight w:val="20"/>
          <w:tblHeader/>
        </w:trPr>
        <w:tc>
          <w:tcPr>
            <w:tcW w:w="3675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center"/>
            </w:pPr>
            <w:r w:rsidRPr="0079608C">
              <w:rPr>
                <w:b/>
              </w:rPr>
              <w:t>nov-2019</w:t>
            </w:r>
          </w:p>
        </w:tc>
        <w:tc>
          <w:tcPr>
            <w:tcW w:w="2498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center"/>
            </w:pPr>
          </w:p>
        </w:tc>
        <w:tc>
          <w:tcPr>
            <w:tcW w:w="2539" w:type="dxa"/>
            <w:shd w:val="clear" w:color="auto" w:fill="C0C0C0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left"/>
            </w:pPr>
            <w:r w:rsidRPr="0079608C">
              <w:rPr>
                <w:b/>
              </w:rPr>
              <w:t>en dólares de los E.E.U.</w:t>
            </w:r>
            <w:proofErr w:type="gramStart"/>
            <w:r w:rsidRPr="0079608C">
              <w:rPr>
                <w:b/>
              </w:rPr>
              <w:t>U.A</w:t>
            </w:r>
            <w:proofErr w:type="gramEnd"/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Arabia Saudita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Riyal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0.26670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Argelia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Dinar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0.00830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Argentina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 xml:space="preserve">Peso 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0.01670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Australia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0.67635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Bahamas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Barbados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0.50000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Belice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0.50000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Bermuda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Bolivia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Boliviano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0.14470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Brasil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 xml:space="preserve">Real 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0.23590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Canadá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0.75290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Chile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Peso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0.00125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China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Yuan Continental 4/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0.14219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China*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Yuan Extracontinental 5/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0.14220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Colombia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Peso 2/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0.28460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Corea del Sur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Won 2/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0.84630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Costa Rica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Col</w:t>
            </w:r>
            <w:r>
              <w:t>ó</w:t>
            </w:r>
            <w:r w:rsidRPr="0079608C">
              <w:t>n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0.00178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Cuba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Peso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Dinamarca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Corona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0.14740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Ecuador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Egipto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Libra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0.06200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El Salvador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>
              <w:t>Coló</w:t>
            </w:r>
            <w:r w:rsidRPr="0079608C">
              <w:t>n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0.11430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Emiratos Árabes Unidos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Dirham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0.27226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Estados Unidos de América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 xml:space="preserve">Federación Rusa 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Rublo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0.01555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proofErr w:type="spellStart"/>
            <w:r w:rsidRPr="0079608C">
              <w:t>Fidji</w:t>
            </w:r>
            <w:proofErr w:type="spellEnd"/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0.45810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Filipinas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Peso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0.01967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Gran Bretaña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Libra Esterlina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1.29325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Guatemala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Quetzal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0.12980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lastRenderedPageBreak/>
              <w:t>Guyana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0.00483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Honduras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Lempira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0.04040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Hong Kong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0.12775</w:t>
            </w:r>
          </w:p>
        </w:tc>
      </w:tr>
    </w:tbl>
    <w:p w:rsidR="00E9112B" w:rsidRPr="00E35213" w:rsidRDefault="00E9112B" w:rsidP="00E9112B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2498"/>
        <w:gridCol w:w="2539"/>
      </w:tblGrid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Hungría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Florín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0.00330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India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Rupia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0.01394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Indonesia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Rupia 2/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0.07081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Irak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Dinar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0.00084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Israel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Shekel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0.28773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Jamaica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0.00740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Japón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Yen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0.00913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Kenia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Chelín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0.00970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Kuwait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Dinar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3.28900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Malasia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Ringgit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0.23930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Marruecos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Dirham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0.10350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Nicaragua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Córdoba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0.02960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Nigeria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Naira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0.00277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Noruega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Corona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0.10850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Nueva Zelanda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0.64195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Panamá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Balboa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Paraguay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Guaraní 2/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0.15470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Perú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Nuevo Sol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0.29420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Polonia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proofErr w:type="spellStart"/>
            <w:r w:rsidRPr="0079608C">
              <w:t>Zloty</w:t>
            </w:r>
            <w:proofErr w:type="spellEnd"/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0.25540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Puerto Rico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1.00000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Rep. Checa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Corona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0.04316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Rep. De Sudáfrica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 xml:space="preserve">Rand 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0.06828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Rep. Dominicana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Peso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0.01890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Rumania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Leu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0.23040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Singapur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0.73120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Suecia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Corona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0.10445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Suiza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Franco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1.00060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Tailandia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Baht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0.03310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proofErr w:type="spellStart"/>
            <w:r w:rsidRPr="0079608C">
              <w:t>Taiwan</w:t>
            </w:r>
            <w:proofErr w:type="spellEnd"/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Nuevo 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0.03276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Trinidad y Tobago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Dólar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0.14770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Turquía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Lira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0.17395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Ucrania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Hryvnia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0.04170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Unión Monetaria Europea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Euro 3/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1.10255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Uruguay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 xml:space="preserve">Peso 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0.02640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Venezuela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Bolívar Soberano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0.00003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Vietnam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Dong 2/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0.04310</w:t>
            </w:r>
          </w:p>
        </w:tc>
      </w:tr>
      <w:tr w:rsidR="00E9112B" w:rsidRPr="0079608C" w:rsidTr="00274CF0">
        <w:trPr>
          <w:trHeight w:val="20"/>
        </w:trPr>
        <w:tc>
          <w:tcPr>
            <w:tcW w:w="3675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Derecho Especial de Giro</w:t>
            </w:r>
          </w:p>
        </w:tc>
        <w:tc>
          <w:tcPr>
            <w:tcW w:w="2498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</w:pPr>
            <w:r w:rsidRPr="0079608C">
              <w:t>DEG</w:t>
            </w:r>
          </w:p>
        </w:tc>
        <w:tc>
          <w:tcPr>
            <w:tcW w:w="2539" w:type="dxa"/>
          </w:tcPr>
          <w:p w:rsidR="00E9112B" w:rsidRPr="0079608C" w:rsidRDefault="00E9112B" w:rsidP="00274CF0">
            <w:pPr>
              <w:pStyle w:val="Texto"/>
              <w:spacing w:before="20" w:after="20" w:line="240" w:lineRule="auto"/>
              <w:ind w:firstLine="0"/>
              <w:jc w:val="right"/>
            </w:pPr>
            <w:r w:rsidRPr="0079608C">
              <w:t>0.00000</w:t>
            </w:r>
          </w:p>
        </w:tc>
      </w:tr>
    </w:tbl>
    <w:p w:rsidR="00E9112B" w:rsidRPr="0079608C" w:rsidRDefault="00E9112B" w:rsidP="00E9112B">
      <w:pPr>
        <w:pStyle w:val="Texto"/>
      </w:pPr>
    </w:p>
    <w:p w:rsidR="00E9112B" w:rsidRPr="0079608C" w:rsidRDefault="00E9112B" w:rsidP="00E9112B">
      <w:pPr>
        <w:pStyle w:val="Texto"/>
        <w:numPr>
          <w:ilvl w:val="0"/>
          <w:numId w:val="1"/>
        </w:numPr>
        <w:tabs>
          <w:tab w:val="left" w:pos="720"/>
        </w:tabs>
        <w:spacing w:line="224" w:lineRule="exact"/>
        <w:ind w:left="720" w:hanging="432"/>
      </w:pPr>
      <w:r w:rsidRPr="0079608C">
        <w:t>El nombre con el que se mencionan los países no necesariamente coincide con su nombre oficial y se listan sin perjuicio del reconocimiento que en su caso se les otorgue como país independiente.</w:t>
      </w:r>
    </w:p>
    <w:p w:rsidR="00E9112B" w:rsidRPr="0079608C" w:rsidRDefault="00E9112B" w:rsidP="00E9112B">
      <w:pPr>
        <w:pStyle w:val="Texto"/>
        <w:numPr>
          <w:ilvl w:val="0"/>
          <w:numId w:val="1"/>
        </w:numPr>
        <w:tabs>
          <w:tab w:val="left" w:pos="720"/>
        </w:tabs>
        <w:spacing w:line="224" w:lineRule="exact"/>
        <w:ind w:left="720" w:hanging="432"/>
      </w:pPr>
      <w:r w:rsidRPr="0079608C">
        <w:t>El tipo de cambio está expresado en dólares por mil unidades domésticas.</w:t>
      </w:r>
    </w:p>
    <w:p w:rsidR="00E9112B" w:rsidRPr="0079608C" w:rsidRDefault="00E9112B" w:rsidP="00E9112B">
      <w:pPr>
        <w:pStyle w:val="Texto"/>
        <w:numPr>
          <w:ilvl w:val="0"/>
          <w:numId w:val="1"/>
        </w:numPr>
        <w:tabs>
          <w:tab w:val="left" w:pos="720"/>
        </w:tabs>
        <w:spacing w:line="224" w:lineRule="exact"/>
        <w:ind w:left="720" w:hanging="432"/>
      </w:pPr>
      <w:r w:rsidRPr="0079608C">
        <w:t>Los países que utilizan el Euro como moneda son: Alemania, Austria, Bélgica, Chipre, Eslovaquia, Eslovenia, España, Estonia, Finlandia, Francia, Grecia, Irlanda, Italia, Letonia, Lituania, Luxemburgo, Malta, Portugal y Países Bajos.</w:t>
      </w:r>
    </w:p>
    <w:p w:rsidR="00E9112B" w:rsidRPr="0079608C" w:rsidRDefault="00E9112B" w:rsidP="00E9112B">
      <w:pPr>
        <w:pStyle w:val="Texto"/>
        <w:numPr>
          <w:ilvl w:val="0"/>
          <w:numId w:val="1"/>
        </w:numPr>
        <w:tabs>
          <w:tab w:val="left" w:pos="720"/>
        </w:tabs>
        <w:spacing w:line="224" w:lineRule="exact"/>
        <w:ind w:left="720" w:hanging="432"/>
      </w:pPr>
      <w:r w:rsidRPr="0079608C">
        <w:t>A partir del 2008 el Bolívar fue sustituido por el Bolívar Fuerte. Para cotizaciones anteriores al 2008 el tipo de cambio está expresado en dólares por mil unidades domésticas.</w:t>
      </w:r>
    </w:p>
    <w:p w:rsidR="00E9112B" w:rsidRPr="0079608C" w:rsidRDefault="00E9112B" w:rsidP="00E9112B">
      <w:pPr>
        <w:pStyle w:val="Texto"/>
        <w:spacing w:line="224" w:lineRule="exact"/>
      </w:pPr>
      <w:r w:rsidRPr="0079608C">
        <w:t>*Corresponde al tipo de cambio cuya cotización es realizada fuera de China continental</w:t>
      </w:r>
    </w:p>
    <w:p w:rsidR="00E9112B" w:rsidRDefault="00E9112B" w:rsidP="00E9112B">
      <w:pPr>
        <w:pStyle w:val="Texto"/>
        <w:spacing w:line="224" w:lineRule="exact"/>
      </w:pPr>
      <w:r w:rsidRPr="0079608C">
        <w:lastRenderedPageBreak/>
        <w:t>Ciudad de México, a 29 de noviembre de 2019</w:t>
      </w:r>
      <w:r>
        <w:t xml:space="preserve">.- </w:t>
      </w:r>
      <w:r w:rsidRPr="00B5653B">
        <w:t>BANCO DE MEXICO</w:t>
      </w:r>
      <w:r>
        <w:t xml:space="preserve">: La </w:t>
      </w:r>
      <w:r w:rsidRPr="0079608C">
        <w:t>Gerente de Disposiciones de Banca Central</w:t>
      </w:r>
      <w:r>
        <w:t xml:space="preserve">, </w:t>
      </w:r>
      <w:r w:rsidRPr="0079608C">
        <w:rPr>
          <w:b/>
        </w:rPr>
        <w:t xml:space="preserve">Fabiola Andrea Tinoco </w:t>
      </w:r>
      <w:proofErr w:type="gramStart"/>
      <w:r w:rsidRPr="0079608C">
        <w:rPr>
          <w:b/>
        </w:rPr>
        <w:t>Hernández</w:t>
      </w:r>
      <w:r>
        <w:t>.-</w:t>
      </w:r>
      <w:proofErr w:type="gramEnd"/>
      <w:r>
        <w:t xml:space="preserve"> Rúbrica.- El </w:t>
      </w:r>
      <w:r w:rsidRPr="0079608C">
        <w:t>Gerente de Operaciones Internacionales</w:t>
      </w:r>
      <w:r>
        <w:t xml:space="preserve">, </w:t>
      </w:r>
      <w:r w:rsidRPr="0079608C">
        <w:rPr>
          <w:b/>
        </w:rPr>
        <w:t>Joaquín Tapia Macías</w:t>
      </w:r>
      <w:r>
        <w:t>.- Rúbrica.</w:t>
      </w:r>
    </w:p>
    <w:p w:rsidR="00E9112B" w:rsidRDefault="00E9112B"/>
    <w:sectPr w:rsidR="00E9112B" w:rsidSect="00683B7E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8F" w:rsidRDefault="00EE1F8F" w:rsidP="00E9112B">
      <w:r>
        <w:separator/>
      </w:r>
    </w:p>
  </w:endnote>
  <w:endnote w:type="continuationSeparator" w:id="0">
    <w:p w:rsidR="00EE1F8F" w:rsidRDefault="00EE1F8F" w:rsidP="00E9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8F" w:rsidRDefault="00EE1F8F" w:rsidP="00E9112B">
      <w:r>
        <w:separator/>
      </w:r>
    </w:p>
  </w:footnote>
  <w:footnote w:type="continuationSeparator" w:id="0">
    <w:p w:rsidR="00EE1F8F" w:rsidRDefault="00EE1F8F" w:rsidP="00E9112B">
      <w:r>
        <w:continuationSeparator/>
      </w:r>
    </w:p>
  </w:footnote>
  <w:footnote w:id="1">
    <w:p w:rsidR="00E9112B" w:rsidRPr="00581B7C" w:rsidRDefault="00E9112B" w:rsidP="00E9112B">
      <w:pPr>
        <w:pStyle w:val="Texto"/>
        <w:spacing w:after="0" w:line="240" w:lineRule="auto"/>
        <w:ind w:firstLine="0"/>
        <w:rPr>
          <w:sz w:val="14"/>
          <w:szCs w:val="14"/>
        </w:rPr>
      </w:pPr>
      <w:r w:rsidRPr="00581B7C">
        <w:rPr>
          <w:rStyle w:val="Refdenotaalpie"/>
          <w:sz w:val="14"/>
          <w:szCs w:val="14"/>
        </w:rPr>
        <w:t>1*</w:t>
      </w:r>
      <w:r w:rsidRPr="00581B7C">
        <w:rPr>
          <w:sz w:val="14"/>
          <w:szCs w:val="14"/>
        </w:rPr>
        <w:t xml:space="preserve"> Conforme a los datos publicados por el INEGI se consideró el promedio de las importaciones y exportaciones de México de los últimos cinco años.</w:t>
      </w:r>
    </w:p>
  </w:footnote>
  <w:footnote w:id="2">
    <w:p w:rsidR="00E9112B" w:rsidRPr="00581B7C" w:rsidRDefault="00E9112B" w:rsidP="00E9112B">
      <w:pPr>
        <w:pStyle w:val="Texto"/>
        <w:spacing w:after="0" w:line="240" w:lineRule="auto"/>
        <w:ind w:firstLine="0"/>
        <w:rPr>
          <w:sz w:val="14"/>
          <w:szCs w:val="14"/>
        </w:rPr>
      </w:pPr>
      <w:r w:rsidRPr="00581B7C">
        <w:rPr>
          <w:rStyle w:val="Refdenotaalpie"/>
          <w:sz w:val="14"/>
          <w:szCs w:val="14"/>
        </w:rPr>
        <w:t>2**</w:t>
      </w:r>
      <w:r w:rsidRPr="00581B7C">
        <w:rPr>
          <w:sz w:val="14"/>
          <w:szCs w:val="14"/>
        </w:rPr>
        <w:t xml:space="preserve"> </w:t>
      </w:r>
      <w:proofErr w:type="gramStart"/>
      <w:r w:rsidRPr="00581B7C">
        <w:rPr>
          <w:sz w:val="14"/>
          <w:szCs w:val="14"/>
        </w:rPr>
        <w:t>De acuerdo al</w:t>
      </w:r>
      <w:proofErr w:type="gramEnd"/>
      <w:r w:rsidRPr="00581B7C">
        <w:rPr>
          <w:sz w:val="14"/>
          <w:szCs w:val="14"/>
        </w:rPr>
        <w:t xml:space="preserve"> volumen operado durante abril de 2013 fecha correspondiente a la encuesta oficial publicada por el Banco de Pagos Internacionales (BIS).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5D" w:rsidRPr="00D57944" w:rsidRDefault="00EE1F8F" w:rsidP="007F22C8">
    <w:pPr>
      <w:pStyle w:val="Fechas"/>
      <w:rPr>
        <w:rFonts w:cs="Times New Roman"/>
      </w:rPr>
    </w:pPr>
    <w:r w:rsidRPr="00D57944">
      <w:rPr>
        <w:rFonts w:cs="Times New Roman"/>
      </w:rPr>
      <w:tab/>
      <w:t>DIARIO OFICIAL</w:t>
    </w:r>
    <w:r w:rsidRPr="00D57944">
      <w:rPr>
        <w:rFonts w:cs="Times New Roman"/>
      </w:rPr>
      <w:tab/>
    </w:r>
    <w:proofErr w:type="gramStart"/>
    <w:r w:rsidRPr="00D57944">
      <w:rPr>
        <w:rFonts w:cs="Times New Roman"/>
      </w:rPr>
      <w:t>Viernes</w:t>
    </w:r>
    <w:proofErr w:type="gramEnd"/>
    <w:r w:rsidRPr="00D57944">
      <w:rPr>
        <w:rFonts w:cs="Times New Roman"/>
      </w:rPr>
      <w:t xml:space="preserve"> 6 de diciembre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5D" w:rsidRPr="00D57944" w:rsidRDefault="00EE1F8F" w:rsidP="007F22C8">
    <w:pPr>
      <w:pStyle w:val="Fechas"/>
      <w:rPr>
        <w:rFonts w:cs="Times New Roman"/>
      </w:rPr>
    </w:pPr>
    <w:r w:rsidRPr="00D57944">
      <w:rPr>
        <w:rFonts w:cs="Times New Roman"/>
      </w:rPr>
      <w:t>Viernes 6 de diciembre de 2019</w:t>
    </w:r>
    <w:r w:rsidRPr="00D57944">
      <w:rPr>
        <w:rFonts w:cs="Times New Roman"/>
      </w:rPr>
      <w:tab/>
      <w:t>DIARI</w:t>
    </w:r>
    <w:r w:rsidRPr="00D57944">
      <w:rPr>
        <w:rFonts w:cs="Times New Roman"/>
      </w:rPr>
      <w:t>O OFICIAL</w:t>
    </w:r>
    <w:r w:rsidRPr="00D57944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1481"/>
    <w:multiLevelType w:val="hybridMultilevel"/>
    <w:tmpl w:val="84A8AD0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2B"/>
    <w:rsid w:val="00E9112B"/>
    <w:rsid w:val="00E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D88"/>
  <w15:chartTrackingRefBased/>
  <w15:docId w15:val="{6A8C331B-A7B2-421B-A5B5-467BDD9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9112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E9112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Titulo1">
    <w:name w:val="Titulo 1"/>
    <w:basedOn w:val="Texto"/>
    <w:link w:val="Titulo1Car"/>
    <w:rsid w:val="00E9112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9112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E9112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itulo1Car">
    <w:name w:val="Titulo 1 Car"/>
    <w:link w:val="Titulo1"/>
    <w:rsid w:val="00E9112B"/>
    <w:rPr>
      <w:rFonts w:ascii="Times New Roman" w:eastAsia="Times New Roman" w:hAnsi="Times New Roman" w:cs="Arial"/>
      <w:b/>
      <w:sz w:val="18"/>
      <w:szCs w:val="18"/>
      <w:lang w:eastAsia="es-MX"/>
    </w:rPr>
  </w:style>
  <w:style w:type="character" w:styleId="Refdenotaalpie">
    <w:name w:val="footnote reference"/>
    <w:uiPriority w:val="99"/>
    <w:unhideWhenUsed/>
    <w:rsid w:val="00E9112B"/>
    <w:rPr>
      <w:vertAlign w:val="superscript"/>
    </w:rPr>
  </w:style>
  <w:style w:type="paragraph" w:customStyle="1" w:styleId="CABEZA">
    <w:name w:val="CABEZA"/>
    <w:basedOn w:val="Normal"/>
    <w:rsid w:val="00E9112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2019-12-06T14:20:00Z</dcterms:created>
  <dcterms:modified xsi:type="dcterms:W3CDTF">2019-12-06T14:20:00Z</dcterms:modified>
</cp:coreProperties>
</file>